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CC62B" w14:textId="77777777" w:rsidR="008F1982" w:rsidRPr="008F1982" w:rsidRDefault="008F1982" w:rsidP="008F1982">
      <w:pPr>
        <w:pStyle w:val="Sinespaciado"/>
        <w:ind w:firstLine="720"/>
        <w:rPr>
          <w:b/>
          <w:i/>
          <w:lang w:val="es-MX"/>
        </w:rPr>
      </w:pPr>
      <w:r>
        <w:rPr>
          <w:b/>
          <w:noProof/>
          <w:lang w:val="en-US"/>
        </w:rPr>
        <mc:AlternateContent>
          <mc:Choice Requires="wps">
            <w:drawing>
              <wp:anchor distT="0" distB="0" distL="114300" distR="114300" simplePos="0" relativeHeight="251663360" behindDoc="0" locked="0" layoutInCell="1" allowOverlap="1" wp14:anchorId="43D03E57" wp14:editId="26F46AA5">
                <wp:simplePos x="0" y="0"/>
                <wp:positionH relativeFrom="column">
                  <wp:posOffset>-400050</wp:posOffset>
                </wp:positionH>
                <wp:positionV relativeFrom="paragraph">
                  <wp:posOffset>-215900</wp:posOffset>
                </wp:positionV>
                <wp:extent cx="0" cy="129600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0" cy="12960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A1982"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7pt" to="-31.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fvgEAAMkDAAAOAAAAZHJzL2Uyb0RvYy54bWysU01v2zAMvQ/YfxB0X+zk0K5GnB5SdJeh&#10;Ddatd1WmYgH6AqXGzr8vJbvesA4DNvQiixLfI98Tvb0erWEnwKi9a/l6VXMGTvpOu2PLf3y//fSZ&#10;s5iE64TxDlp+hsivdx8/bIfQwMb33nSAjEhcbIbQ8j6l0FRVlD1YEVc+gKNL5dGKRCEeqw7FQOzW&#10;VJu6vqgGj11ALyFGOr2ZLvmu8CsFMt0rFSEx03LqLZUVy/qU12q3Fc0RRei1nNsQ/9GFFdpR0YXq&#10;RiTBnlG/obJaoo9epZX0tvJKaQlFA6lZ17+peehFgKKFzIlhsSm+H628Ox2Q6a7ll5w5YemJ9vRQ&#10;MnlkmD/sMns0hNhQ6t4dcI5iOGAWPCq0TBkdHun5iwUkio3F4fPiMIyJyelQ0ul6c3VR18X9aqLI&#10;VAFj+gLesrxpudEuixeNOH2NicpS6msKBbmlqYmyS2cDOdm4b6BIEBWb2imjBHuD7CRoCISU4NIm&#10;iyK+kp1hShuzAOtS9q/AOT9DoYzZv4AXRKnsXVrAVjuPf6qexvXcspryXx2YdGcLnnx3Ls9TrKF5&#10;KQrn2c4D+Wtc4D//wN0LAAAA//8DAFBLAwQUAAYACAAAACEAPAPZvt8AAAALAQAADwAAAGRycy9k&#10;b3ducmV2LnhtbEyPQU/DMAyF70j8h8hI3La0DG1TaToBEpTLhtiAc9qYNlrjVE22FX49Rhzg9mw/&#10;PX8vX42uE0ccgvWkIJ0mIJBqbyw1Cl53D5MliBA1Gd15QgWfGGBVnJ/lOjP+RC943MZGcAiFTCto&#10;Y+wzKUPdotNh6nskvn34wenI49BIM+gTh7tOXiXJXDptiT+0usf7Fuv99uAU7Etbrr/e0zv5Vq6H&#10;p+fHyprNQqnLi/H2BkTEMf6Z4Qef0aFgpsofyATRKZjMZ9wlsphds2DH76Zi6yJJQRa5/N+h+AYA&#10;AP//AwBQSwECLQAUAAYACAAAACEAtoM4kv4AAADhAQAAEwAAAAAAAAAAAAAAAAAAAAAAW0NvbnRl&#10;bnRfVHlwZXNdLnhtbFBLAQItABQABgAIAAAAIQA4/SH/1gAAAJQBAAALAAAAAAAAAAAAAAAAAC8B&#10;AABfcmVscy8ucmVsc1BLAQItABQABgAIAAAAIQD/NwsfvgEAAMkDAAAOAAAAAAAAAAAAAAAAAC4C&#10;AABkcnMvZTJvRG9jLnhtbFBLAQItABQABgAIAAAAIQA8A9m+3wAAAAsBAAAPAAAAAAAAAAAAAAAA&#10;ABgEAABkcnMvZG93bnJldi54bWxQSwUGAAAAAAQABADzAAAAJAUAAAAA&#10;" strokecolor="#ed7d31 [3205]" strokeweight=".5pt">
                <v:stroke joinstyle="miter"/>
              </v:line>
            </w:pict>
          </mc:Fallback>
        </mc:AlternateContent>
      </w:r>
      <w:r w:rsidRPr="00F342FC">
        <w:rPr>
          <w:b/>
          <w:noProof/>
          <w:lang w:val="en-US"/>
        </w:rPr>
        <w:drawing>
          <wp:anchor distT="0" distB="0" distL="114300" distR="114300" simplePos="0" relativeHeight="251659264" behindDoc="0" locked="0" layoutInCell="1" allowOverlap="1" wp14:anchorId="09AC0A05" wp14:editId="28091FA2">
            <wp:simplePos x="0" y="0"/>
            <wp:positionH relativeFrom="column">
              <wp:posOffset>-60960</wp:posOffset>
            </wp:positionH>
            <wp:positionV relativeFrom="paragraph">
              <wp:posOffset>-175895</wp:posOffset>
            </wp:positionV>
            <wp:extent cx="523875" cy="67564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CEO (1)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875" cy="675640"/>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sidRPr="008F1982">
        <w:rPr>
          <w:b/>
          <w:i/>
          <w:lang w:val="es-MX"/>
        </w:rPr>
        <w:t xml:space="preserve">LICEO BICENTENARIO </w:t>
      </w:r>
    </w:p>
    <w:p w14:paraId="6D1B1438" w14:textId="77777777" w:rsidR="008F1982" w:rsidRPr="008F1982" w:rsidRDefault="008F1982" w:rsidP="008F1982">
      <w:pPr>
        <w:pStyle w:val="Sinespaciado"/>
        <w:ind w:firstLine="720"/>
        <w:rPr>
          <w:b/>
          <w:i/>
          <w:lang w:val="es-MX"/>
        </w:rPr>
      </w:pPr>
      <w:r w:rsidRPr="008F1982">
        <w:rPr>
          <w:b/>
          <w:i/>
          <w:lang w:val="es-MX"/>
        </w:rPr>
        <w:t xml:space="preserve">  MANUEL MAGALHAES MEDLING</w:t>
      </w:r>
    </w:p>
    <w:p w14:paraId="42E395D0" w14:textId="77777777" w:rsidR="008F1982" w:rsidRPr="00F342FC" w:rsidRDefault="008F1982" w:rsidP="008F1982">
      <w:pPr>
        <w:pStyle w:val="Sinespaciado"/>
        <w:rPr>
          <w:b/>
          <w:lang w:val="es-MX"/>
        </w:rPr>
      </w:pPr>
      <w:r>
        <w:rPr>
          <w:b/>
          <w:noProof/>
          <w:lang w:val="en-US"/>
        </w:rPr>
        <mc:AlternateContent>
          <mc:Choice Requires="wps">
            <w:drawing>
              <wp:anchor distT="0" distB="0" distL="114300" distR="114300" simplePos="0" relativeHeight="251661312" behindDoc="0" locked="0" layoutInCell="1" allowOverlap="1" wp14:anchorId="010F5E13" wp14:editId="4598B8AC">
                <wp:simplePos x="0" y="0"/>
                <wp:positionH relativeFrom="column">
                  <wp:posOffset>-552450</wp:posOffset>
                </wp:positionH>
                <wp:positionV relativeFrom="paragraph">
                  <wp:posOffset>170180</wp:posOffset>
                </wp:positionV>
                <wp:extent cx="6552000" cy="0"/>
                <wp:effectExtent l="0" t="0" r="20320" b="19050"/>
                <wp:wrapNone/>
                <wp:docPr id="6" name="Conector recto 6"/>
                <wp:cNvGraphicFramePr/>
                <a:graphic xmlns:a="http://schemas.openxmlformats.org/drawingml/2006/main">
                  <a:graphicData uri="http://schemas.microsoft.com/office/word/2010/wordprocessingShape">
                    <wps:wsp>
                      <wps:cNvCnPr/>
                      <wps:spPr>
                        <a:xfrm>
                          <a:off x="0" y="0"/>
                          <a:ext cx="6552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C5FBC"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3.4pt" to="472.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7BswEAAL8DAAAOAAAAZHJzL2Uyb0RvYy54bWysU01v2zAMvRfYfxB0X+wEaDAYcXpI0V6G&#10;LVi7H6DKVCxAX6C02Pn3oxTHHboCRYteJFHiI/keqc3NaA07AkbtXcuXi5ozcNJ32h1a/vvx7us3&#10;zmISrhPGO2j5CSK/2X652gyhgZXvvekAGQVxsRlCy/uUQlNVUfZgRVz4AI4elUcrEpl4qDoUA0W3&#10;plrV9boaPHYBvYQY6fb2/Mi3Jb5SINNPpSIkZlpOtaWyYlmf8lptN6I5oAi9llMZ4gNVWKEdJZ1D&#10;3Yok2B/U/4WyWqKPXqWF9LbySmkJhQOxWdYv2Dz0IkDhQuLEMMsUPy+s/HHcI9Ndy9ecOWGpRTtq&#10;lEweGeaNrbNGQ4gNue7cHicrhj1mwqNCm3eiwsai62nWFcbEJF2ur6+pVyS/vLxVz8CAMd2Dtywf&#10;Wm60y5RFI47fY6Jk5HpxISMXck5dTulkIDsb9wsU0aBky4IuAwQ7g+woqPVCSnBplalQvOKdYUob&#10;MwPrt4GTf4ZCGa73gGdEyexdmsFWO4+vZU/jcipZnf0vCpx5ZwmefHcqTSnS0JQUhtNE5zH81y7w&#10;53+3/QsAAP//AwBQSwMEFAAGAAgAAAAhAKa7d5DdAAAACQEAAA8AAABkcnMvZG93bnJldi54bWxM&#10;j0FvwjAMhe+T+A+RJ+0G6RBirGuKENOQ4DbKhVvaeG1F4lRNKN2/nycO2832e3r+XrYenRUD9qH1&#10;pOB5loBAqrxpqVZwKj6mKxAhajLaekIF3xhgnU8eMp0af6NPHI6xFhxCIdUKmhi7VMpQNeh0mPkO&#10;ibUv3zsdee1raXp943Bn5TxJltLplvhDozvcNlhdjlenoDiU1m8H/75z57Dflbg/FZezUk+P4+YN&#10;RMQx/pnhF5/RIWem0l/JBGEVTFcv3CUqmC+5AhteFwseyvtB5pn83yD/AQAA//8DAFBLAQItABQA&#10;BgAIAAAAIQC2gziS/gAAAOEBAAATAAAAAAAAAAAAAAAAAAAAAABbQ29udGVudF9UeXBlc10ueG1s&#10;UEsBAi0AFAAGAAgAAAAhADj9If/WAAAAlAEAAAsAAAAAAAAAAAAAAAAALwEAAF9yZWxzLy5yZWxz&#10;UEsBAi0AFAAGAAgAAAAhAN9vDsGzAQAAvwMAAA4AAAAAAAAAAAAAAAAALgIAAGRycy9lMm9Eb2Mu&#10;eG1sUEsBAi0AFAAGAAgAAAAhAKa7d5DdAAAACQEAAA8AAAAAAAAAAAAAAAAADQQAAGRycy9kb3du&#10;cmV2LnhtbFBLBQYAAAAABAAEAPMAAAAXBQAAAAA=&#10;" strokecolor="#ed7d31 [3205]" strokeweight=".5pt">
                <v:stroke joinstyle="miter"/>
              </v:line>
            </w:pict>
          </mc:Fallback>
        </mc:AlternateContent>
      </w:r>
    </w:p>
    <w:p w14:paraId="2FF734F0" w14:textId="77777777" w:rsidR="008F1982" w:rsidRDefault="008F1982" w:rsidP="008F1982">
      <w:pPr>
        <w:pStyle w:val="Sinespaciado"/>
        <w:jc w:val="center"/>
        <w:rPr>
          <w:b/>
          <w:sz w:val="32"/>
          <w:u w:val="single"/>
          <w:lang w:val="es-MX"/>
        </w:rPr>
      </w:pPr>
    </w:p>
    <w:p w14:paraId="39B6B600" w14:textId="77777777" w:rsidR="008F1982" w:rsidRPr="008F1982" w:rsidRDefault="008F1982" w:rsidP="008F1982">
      <w:pPr>
        <w:pStyle w:val="Sinespaciado"/>
        <w:jc w:val="center"/>
        <w:rPr>
          <w:b/>
          <w:sz w:val="28"/>
          <w:szCs w:val="28"/>
          <w:lang w:val="es-MX"/>
        </w:rPr>
      </w:pPr>
      <w:r w:rsidRPr="008F1982">
        <w:rPr>
          <w:b/>
          <w:sz w:val="28"/>
          <w:szCs w:val="28"/>
          <w:lang w:val="es-MX"/>
        </w:rPr>
        <w:t>PROTOCOLOS DE ACTUACIÓN ANTE SOSPECHA O CONFIRMACIÓN DE CASOS COVID-19</w:t>
      </w:r>
    </w:p>
    <w:p w14:paraId="3170FD89" w14:textId="77777777" w:rsidR="008F1982" w:rsidRPr="008F1982" w:rsidRDefault="008F1982" w:rsidP="00BD40E4">
      <w:pPr>
        <w:pStyle w:val="Default"/>
        <w:jc w:val="center"/>
        <w:rPr>
          <w:b/>
          <w:bCs/>
          <w:sz w:val="26"/>
          <w:szCs w:val="28"/>
          <w:lang w:val="es-MX"/>
        </w:rPr>
      </w:pPr>
    </w:p>
    <w:p w14:paraId="56BB3AF3" w14:textId="77777777" w:rsidR="008F1982" w:rsidRPr="008F1982" w:rsidRDefault="008F1982" w:rsidP="00BD40E4">
      <w:pPr>
        <w:pStyle w:val="Default"/>
        <w:jc w:val="center"/>
        <w:rPr>
          <w:b/>
          <w:bCs/>
          <w:szCs w:val="28"/>
        </w:rPr>
      </w:pPr>
    </w:p>
    <w:p w14:paraId="67D14F5F" w14:textId="77777777" w:rsidR="00BD40E4" w:rsidRPr="008F1982" w:rsidRDefault="00BD40E4" w:rsidP="00BD40E4">
      <w:pPr>
        <w:pStyle w:val="Default"/>
        <w:jc w:val="both"/>
        <w:rPr>
          <w:rFonts w:ascii="BEKRYY+Calibri" w:hAnsi="BEKRYY+Calibri" w:cs="BEKRYY+Calibri"/>
          <w:sz w:val="22"/>
          <w:szCs w:val="22"/>
        </w:rPr>
      </w:pPr>
      <w:r w:rsidRPr="008F1982">
        <w:rPr>
          <w:rFonts w:ascii="BEKRYY+Calibri" w:hAnsi="BEKRYY+Calibri" w:cs="BEKRYY+Calibri"/>
          <w:sz w:val="22"/>
          <w:szCs w:val="22"/>
        </w:rPr>
        <w:t xml:space="preserve">En caso de confirmarse </w:t>
      </w:r>
      <w:r w:rsidR="00152C8D">
        <w:rPr>
          <w:rFonts w:ascii="BEKRYY+Calibri" w:hAnsi="BEKRYY+Calibri" w:cs="BEKRYY+Calibri"/>
          <w:sz w:val="22"/>
          <w:szCs w:val="22"/>
        </w:rPr>
        <w:t xml:space="preserve">o sospechar de </w:t>
      </w:r>
      <w:r w:rsidRPr="008F1982">
        <w:rPr>
          <w:rFonts w:ascii="BEKRYY+Calibri" w:hAnsi="BEKRYY+Calibri" w:cs="BEKRYY+Calibri"/>
          <w:sz w:val="22"/>
          <w:szCs w:val="22"/>
        </w:rPr>
        <w:t>uno o más casos de COVID-19 en la comunidad educativa, se deben seguir las instrucciones señaladas por la autoridad sanitaria:</w:t>
      </w:r>
    </w:p>
    <w:p w14:paraId="63DEDA35" w14:textId="77777777" w:rsidR="00BD40E4" w:rsidRPr="008F1982" w:rsidRDefault="00BD40E4" w:rsidP="00BD40E4">
      <w:pPr>
        <w:pStyle w:val="Default"/>
        <w:jc w:val="both"/>
        <w:rPr>
          <w:rFonts w:ascii="BEKRYY+Calibri" w:hAnsi="BEKRYY+Calibri" w:cs="BEKRYY+Calibri"/>
          <w:sz w:val="22"/>
          <w:szCs w:val="22"/>
        </w:rPr>
      </w:pPr>
    </w:p>
    <w:p w14:paraId="77661644" w14:textId="77777777" w:rsidR="00BD40E4" w:rsidRPr="008F1982" w:rsidRDefault="00BD40E4" w:rsidP="00BD40E4">
      <w:pPr>
        <w:pStyle w:val="Default"/>
        <w:jc w:val="both"/>
        <w:rPr>
          <w:b/>
          <w:bCs/>
          <w:sz w:val="22"/>
          <w:szCs w:val="22"/>
        </w:rPr>
      </w:pPr>
      <w:r w:rsidRPr="008F1982">
        <w:rPr>
          <w:sz w:val="22"/>
          <w:szCs w:val="22"/>
        </w:rPr>
        <w:t>En caso de tener un caso sospechoso se debe aislar a la persona e inmediatamente asistir a un centro asistencial para tomar el examen PCR correspondiente. En caso de confirmarse uno o más casos de COVID-19 en la comunidad educativa, se deben seguir las siguientes instrucciones de la autoridad sanitaria</w:t>
      </w:r>
    </w:p>
    <w:p w14:paraId="227127F0" w14:textId="77777777" w:rsidR="00BD40E4" w:rsidRPr="008F1982" w:rsidRDefault="00BD40E4" w:rsidP="00BD40E4">
      <w:pPr>
        <w:pStyle w:val="Default"/>
        <w:rPr>
          <w:sz w:val="22"/>
          <w:szCs w:val="22"/>
        </w:rPr>
      </w:pPr>
    </w:p>
    <w:p w14:paraId="6A15F821" w14:textId="77777777" w:rsidR="00BD40E4" w:rsidRPr="008F1982" w:rsidRDefault="00BD40E4" w:rsidP="00BD40E4">
      <w:pPr>
        <w:pStyle w:val="Default"/>
        <w:rPr>
          <w:b/>
          <w:bCs/>
          <w:sz w:val="22"/>
          <w:szCs w:val="22"/>
        </w:rPr>
      </w:pPr>
      <w:r w:rsidRPr="008F1982">
        <w:rPr>
          <w:b/>
          <w:bCs/>
          <w:sz w:val="22"/>
          <w:szCs w:val="22"/>
        </w:rPr>
        <w:t>Si la persona confirmada con COVID-19 (+) es:</w:t>
      </w:r>
    </w:p>
    <w:p w14:paraId="67DCF0F0" w14:textId="77777777" w:rsidR="00BD40E4" w:rsidRDefault="00BD40E4" w:rsidP="00BD40E4">
      <w:pPr>
        <w:pStyle w:val="Default"/>
        <w:rPr>
          <w:b/>
          <w:bCs/>
          <w:szCs w:val="28"/>
        </w:rPr>
      </w:pPr>
    </w:p>
    <w:p w14:paraId="2214170F" w14:textId="77777777" w:rsidR="00BD40E4" w:rsidRPr="00BD40E4" w:rsidRDefault="00BD40E4" w:rsidP="008F1982">
      <w:pPr>
        <w:pStyle w:val="Default"/>
        <w:rPr>
          <w:b/>
          <w:bCs/>
          <w:szCs w:val="28"/>
        </w:rPr>
      </w:pPr>
      <w:r>
        <w:rPr>
          <w:noProof/>
          <w:lang w:val="en-US"/>
        </w:rPr>
        <w:drawing>
          <wp:inline distT="0" distB="0" distL="0" distR="0" wp14:anchorId="0EF17A0D" wp14:editId="60E40250">
            <wp:extent cx="5505450" cy="2697298"/>
            <wp:effectExtent l="19050" t="19050" r="19050" b="273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885" t="32354" r="29993" b="31831"/>
                    <a:stretch/>
                  </pic:blipFill>
                  <pic:spPr bwMode="auto">
                    <a:xfrm>
                      <a:off x="0" y="0"/>
                      <a:ext cx="5549494" cy="2718877"/>
                    </a:xfrm>
                    <a:prstGeom prst="rect">
                      <a:avLst/>
                    </a:prstGeom>
                    <a:ln>
                      <a:solidFill>
                        <a:schemeClr val="accent2"/>
                      </a:solidFill>
                    </a:ln>
                    <a:extLst>
                      <a:ext uri="{53640926-AAD7-44D8-BBD7-CCE9431645EC}">
                        <a14:shadowObscured xmlns:a14="http://schemas.microsoft.com/office/drawing/2010/main"/>
                      </a:ext>
                    </a:extLst>
                  </pic:spPr>
                </pic:pic>
              </a:graphicData>
            </a:graphic>
          </wp:inline>
        </w:drawing>
      </w:r>
    </w:p>
    <w:p w14:paraId="77C55531" w14:textId="77777777" w:rsidR="00BD40E4" w:rsidRDefault="00BD40E4" w:rsidP="008F1982">
      <w:pPr>
        <w:pStyle w:val="Default"/>
        <w:rPr>
          <w:b/>
          <w:bCs/>
          <w:sz w:val="28"/>
          <w:szCs w:val="28"/>
        </w:rPr>
      </w:pPr>
      <w:r>
        <w:rPr>
          <w:noProof/>
          <w:lang w:val="en-US"/>
        </w:rPr>
        <w:drawing>
          <wp:inline distT="0" distB="0" distL="0" distR="0" wp14:anchorId="26399CBE" wp14:editId="0B3EEB29">
            <wp:extent cx="5504400" cy="2970720"/>
            <wp:effectExtent l="19050" t="19050" r="20320" b="203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373" t="21599" r="29830" b="22838"/>
                    <a:stretch/>
                  </pic:blipFill>
                  <pic:spPr bwMode="auto">
                    <a:xfrm>
                      <a:off x="0" y="0"/>
                      <a:ext cx="5504400" cy="2970720"/>
                    </a:xfrm>
                    <a:prstGeom prst="rect">
                      <a:avLst/>
                    </a:prstGeom>
                    <a:ln>
                      <a:solidFill>
                        <a:schemeClr val="accent2"/>
                      </a:solidFill>
                    </a:ln>
                    <a:extLst>
                      <a:ext uri="{53640926-AAD7-44D8-BBD7-CCE9431645EC}">
                        <a14:shadowObscured xmlns:a14="http://schemas.microsoft.com/office/drawing/2010/main"/>
                      </a:ext>
                    </a:extLst>
                  </pic:spPr>
                </pic:pic>
              </a:graphicData>
            </a:graphic>
          </wp:inline>
        </w:drawing>
      </w:r>
    </w:p>
    <w:p w14:paraId="68622239" w14:textId="77777777" w:rsidR="00BD40E4" w:rsidRDefault="00BD40E4" w:rsidP="00BD40E4">
      <w:pPr>
        <w:pStyle w:val="Default"/>
        <w:jc w:val="both"/>
        <w:rPr>
          <w:b/>
          <w:bCs/>
          <w:sz w:val="28"/>
          <w:szCs w:val="28"/>
        </w:rPr>
      </w:pPr>
      <w:r>
        <w:rPr>
          <w:noProof/>
          <w:lang w:val="en-US"/>
        </w:rPr>
        <w:lastRenderedPageBreak/>
        <w:drawing>
          <wp:inline distT="0" distB="0" distL="0" distR="0" wp14:anchorId="07D037F9" wp14:editId="5A000826">
            <wp:extent cx="5504400" cy="4455943"/>
            <wp:effectExtent l="19050" t="19050" r="20320" b="209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047" t="19725" r="29830" b="21098"/>
                    <a:stretch/>
                  </pic:blipFill>
                  <pic:spPr bwMode="auto">
                    <a:xfrm>
                      <a:off x="0" y="0"/>
                      <a:ext cx="5504400" cy="4455943"/>
                    </a:xfrm>
                    <a:prstGeom prst="rect">
                      <a:avLst/>
                    </a:prstGeom>
                    <a:ln>
                      <a:solidFill>
                        <a:schemeClr val="accent2"/>
                      </a:solidFill>
                    </a:ln>
                    <a:extLst>
                      <a:ext uri="{53640926-AAD7-44D8-BBD7-CCE9431645EC}">
                        <a14:shadowObscured xmlns:a14="http://schemas.microsoft.com/office/drawing/2010/main"/>
                      </a:ext>
                    </a:extLst>
                  </pic:spPr>
                </pic:pic>
              </a:graphicData>
            </a:graphic>
          </wp:inline>
        </w:drawing>
      </w:r>
    </w:p>
    <w:p w14:paraId="17C7D46E" w14:textId="77777777" w:rsidR="00BD40E4" w:rsidRDefault="00BD40E4" w:rsidP="00BD40E4">
      <w:r>
        <w:rPr>
          <w:noProof/>
          <w:lang w:val="en-US"/>
        </w:rPr>
        <w:drawing>
          <wp:inline distT="0" distB="0" distL="0" distR="0" wp14:anchorId="4E457897" wp14:editId="5A300A14">
            <wp:extent cx="5504400" cy="3815799"/>
            <wp:effectExtent l="19050" t="19050" r="20320" b="133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047" t="24657" r="29994" b="24870"/>
                    <a:stretch/>
                  </pic:blipFill>
                  <pic:spPr bwMode="auto">
                    <a:xfrm>
                      <a:off x="0" y="0"/>
                      <a:ext cx="5504400" cy="3815799"/>
                    </a:xfrm>
                    <a:prstGeom prst="rect">
                      <a:avLst/>
                    </a:prstGeom>
                    <a:ln>
                      <a:solidFill>
                        <a:schemeClr val="accent2"/>
                      </a:solidFill>
                    </a:ln>
                    <a:extLst>
                      <a:ext uri="{53640926-AAD7-44D8-BBD7-CCE9431645EC}">
                        <a14:shadowObscured xmlns:a14="http://schemas.microsoft.com/office/drawing/2010/main"/>
                      </a:ext>
                    </a:extLst>
                  </pic:spPr>
                </pic:pic>
              </a:graphicData>
            </a:graphic>
          </wp:inline>
        </w:drawing>
      </w:r>
    </w:p>
    <w:p w14:paraId="682D2CC4" w14:textId="77777777" w:rsidR="003E1C90" w:rsidRDefault="003E1C90" w:rsidP="00BD40E4"/>
    <w:p w14:paraId="281B4CDF" w14:textId="77777777" w:rsidR="008F1982" w:rsidRDefault="008F1982" w:rsidP="00BD40E4"/>
    <w:p w14:paraId="3A60CF8B" w14:textId="77777777" w:rsidR="002F79D0" w:rsidRPr="0002296A" w:rsidRDefault="002F79D0" w:rsidP="002F79D0">
      <w:pPr>
        <w:pStyle w:val="Prrafodelista"/>
        <w:numPr>
          <w:ilvl w:val="0"/>
          <w:numId w:val="1"/>
        </w:numPr>
        <w:rPr>
          <w:b/>
          <w:color w:val="ED7D31" w:themeColor="accent2"/>
        </w:rPr>
      </w:pPr>
      <w:r w:rsidRPr="0002296A">
        <w:rPr>
          <w:b/>
          <w:color w:val="ED7D31" w:themeColor="accent2"/>
        </w:rPr>
        <w:lastRenderedPageBreak/>
        <w:t>PROTOCOLO DE ACTUACIÓN</w:t>
      </w:r>
    </w:p>
    <w:tbl>
      <w:tblPr>
        <w:tblStyle w:val="Tablaconcuadrcula1Claro-nfasis2"/>
        <w:tblW w:w="0" w:type="auto"/>
        <w:tblLook w:val="04A0" w:firstRow="1" w:lastRow="0" w:firstColumn="1" w:lastColumn="0" w:noHBand="0" w:noVBand="1"/>
      </w:tblPr>
      <w:tblGrid>
        <w:gridCol w:w="562"/>
        <w:gridCol w:w="4743"/>
        <w:gridCol w:w="4750"/>
      </w:tblGrid>
      <w:tr w:rsidR="008F1982" w14:paraId="3B8D9105" w14:textId="77777777" w:rsidTr="000229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gridSpan w:val="2"/>
          </w:tcPr>
          <w:p w14:paraId="2F06DABE" w14:textId="77777777" w:rsidR="008F1982" w:rsidRDefault="008F1982" w:rsidP="00BD40E4">
            <w:r>
              <w:t>GENERALIDADES</w:t>
            </w:r>
          </w:p>
        </w:tc>
        <w:tc>
          <w:tcPr>
            <w:tcW w:w="4750" w:type="dxa"/>
          </w:tcPr>
          <w:p w14:paraId="35027D4C" w14:textId="77777777" w:rsidR="008F1982" w:rsidRDefault="008F1982" w:rsidP="00BD40E4">
            <w:pPr>
              <w:cnfStyle w:val="100000000000" w:firstRow="1" w:lastRow="0" w:firstColumn="0" w:lastColumn="0" w:oddVBand="0" w:evenVBand="0" w:oddHBand="0" w:evenHBand="0" w:firstRowFirstColumn="0" w:firstRowLastColumn="0" w:lastRowFirstColumn="0" w:lastRowLastColumn="0"/>
            </w:pPr>
            <w:r>
              <w:t>RESPONSABILIDAD</w:t>
            </w:r>
          </w:p>
        </w:tc>
      </w:tr>
      <w:tr w:rsidR="00152C8D" w14:paraId="78A6C239" w14:textId="77777777" w:rsidTr="0002296A">
        <w:trPr>
          <w:trHeight w:val="1833"/>
        </w:trPr>
        <w:tc>
          <w:tcPr>
            <w:cnfStyle w:val="001000000000" w:firstRow="0" w:lastRow="0" w:firstColumn="1" w:lastColumn="0" w:oddVBand="0" w:evenVBand="0" w:oddHBand="0" w:evenHBand="0" w:firstRowFirstColumn="0" w:firstRowLastColumn="0" w:lastRowFirstColumn="0" w:lastRowLastColumn="0"/>
            <w:tcW w:w="562" w:type="dxa"/>
            <w:textDirection w:val="tbRl"/>
          </w:tcPr>
          <w:p w14:paraId="41014070" w14:textId="77777777" w:rsidR="00152C8D" w:rsidRDefault="00152C8D" w:rsidP="008F1982">
            <w:pPr>
              <w:ind w:left="113" w:right="113"/>
            </w:pPr>
            <w:r>
              <w:t>DEFEINICIÓN</w:t>
            </w:r>
          </w:p>
        </w:tc>
        <w:tc>
          <w:tcPr>
            <w:tcW w:w="4743" w:type="dxa"/>
          </w:tcPr>
          <w:p w14:paraId="6811D76F" w14:textId="77777777" w:rsidR="00152C8D" w:rsidRDefault="006B6CB2" w:rsidP="0002296A">
            <w:pPr>
              <w:jc w:val="both"/>
              <w:cnfStyle w:val="000000000000" w:firstRow="0" w:lastRow="0" w:firstColumn="0" w:lastColumn="0" w:oddVBand="0" w:evenVBand="0" w:oddHBand="0" w:evenHBand="0" w:firstRowFirstColumn="0" w:firstRowLastColumn="0" w:lastRowFirstColumn="0" w:lastRowLastColumn="0"/>
            </w:pPr>
            <w:r w:rsidRPr="006B6CB2">
              <w:t>Nuestro establecimiento con motivo de poder seguir brindando una educación de calidad en el marco de la Pandemia, construye este Protocolo de actuación para abordar el Covid-19, con el objetivo de resguardar la integridad y salud de la comunidad educativa.</w:t>
            </w:r>
          </w:p>
        </w:tc>
        <w:tc>
          <w:tcPr>
            <w:tcW w:w="4750" w:type="dxa"/>
            <w:vMerge w:val="restart"/>
          </w:tcPr>
          <w:p w14:paraId="0F82B9DC" w14:textId="77777777" w:rsidR="00152C8D" w:rsidRDefault="00152C8D" w:rsidP="00152C8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Comunidad escolar </w:t>
            </w:r>
          </w:p>
          <w:p w14:paraId="2520DC0E" w14:textId="77777777" w:rsidR="00152C8D" w:rsidRDefault="00152C8D" w:rsidP="00BD40E4">
            <w:pPr>
              <w:cnfStyle w:val="000000000000" w:firstRow="0" w:lastRow="0" w:firstColumn="0" w:lastColumn="0" w:oddVBand="0" w:evenVBand="0" w:oddHBand="0" w:evenHBand="0" w:firstRowFirstColumn="0" w:firstRowLastColumn="0" w:lastRowFirstColumn="0" w:lastRowLastColumn="0"/>
            </w:pPr>
          </w:p>
        </w:tc>
      </w:tr>
      <w:tr w:rsidR="00152C8D" w14:paraId="4158B065" w14:textId="77777777" w:rsidTr="0002296A">
        <w:trPr>
          <w:trHeight w:val="1833"/>
        </w:trPr>
        <w:tc>
          <w:tcPr>
            <w:cnfStyle w:val="001000000000" w:firstRow="0" w:lastRow="0" w:firstColumn="1" w:lastColumn="0" w:oddVBand="0" w:evenVBand="0" w:oddHBand="0" w:evenHBand="0" w:firstRowFirstColumn="0" w:firstRowLastColumn="0" w:lastRowFirstColumn="0" w:lastRowLastColumn="0"/>
            <w:tcW w:w="562" w:type="dxa"/>
            <w:textDirection w:val="tbRl"/>
          </w:tcPr>
          <w:p w14:paraId="30760D4D" w14:textId="77777777" w:rsidR="00152C8D" w:rsidRDefault="00152C8D" w:rsidP="008F1982">
            <w:pPr>
              <w:ind w:left="113" w:right="113"/>
            </w:pPr>
            <w:r>
              <w:t>TIPIFICACIÓN</w:t>
            </w:r>
          </w:p>
        </w:tc>
        <w:tc>
          <w:tcPr>
            <w:tcW w:w="4743" w:type="dxa"/>
          </w:tcPr>
          <w:p w14:paraId="3BE921E8" w14:textId="77777777" w:rsidR="00152C8D" w:rsidRDefault="0002296A" w:rsidP="0002296A">
            <w:pPr>
              <w:jc w:val="both"/>
              <w:cnfStyle w:val="000000000000" w:firstRow="0" w:lastRow="0" w:firstColumn="0" w:lastColumn="0" w:oddVBand="0" w:evenVBand="0" w:oddHBand="0" w:evenHBand="0" w:firstRowFirstColumn="0" w:firstRowLastColumn="0" w:lastRowFirstColumn="0" w:lastRowLastColumn="0"/>
            </w:pPr>
            <w:r w:rsidRPr="0002296A">
              <w:rPr>
                <w:b/>
              </w:rPr>
              <w:t>Covid-19:</w:t>
            </w:r>
            <w:r>
              <w:t xml:space="preserve"> De acuerdo con lo informado por la Organización Mundial de la Salud (OMS), es la enfermedad infecciosa causada por el coronavirus que se ha descubierto más recientemente. Tanto el nuevo virus como la enfermedad eran desconocidos antes de que estallara el brote en Wuhan (China) en diciembre de 2019. Los coronavirus son causantes de enfermedades que van desde el resfrío común, hasta enfermedades más complejas como insuficiencia respiratoria aguda grave.</w:t>
            </w:r>
          </w:p>
          <w:p w14:paraId="79C6A070" w14:textId="77777777" w:rsidR="0002296A" w:rsidRDefault="0002296A" w:rsidP="0002296A">
            <w:pPr>
              <w:jc w:val="both"/>
              <w:cnfStyle w:val="000000000000" w:firstRow="0" w:lastRow="0" w:firstColumn="0" w:lastColumn="0" w:oddVBand="0" w:evenVBand="0" w:oddHBand="0" w:evenHBand="0" w:firstRowFirstColumn="0" w:firstRowLastColumn="0" w:lastRowFirstColumn="0" w:lastRowLastColumn="0"/>
            </w:pPr>
            <w:r w:rsidRPr="0002296A">
              <w:rPr>
                <w:b/>
              </w:rPr>
              <w:t>Síntomas de COVID-19:</w:t>
            </w:r>
            <w:r>
              <w:t xml:space="preserve"> Los síntomas más comunes del COVID-19 son: fiebre (desde 37,8°C), cansancio y tos seca. Además, algunos pacientes pueden presentar dolores musculares, congestión nasal, rinorrea, dolor de garganta o diarrea. Estos síntomas suelen ser leves y aparecen de forma gradual. Algunas personas se infectan, pero no desarrollan ningún síntoma y no sienten ningún malestar.</w:t>
            </w:r>
          </w:p>
          <w:p w14:paraId="5405DCC0" w14:textId="77777777" w:rsidR="001C38BF" w:rsidRDefault="001C38BF" w:rsidP="001C38BF">
            <w:pPr>
              <w:jc w:val="both"/>
              <w:cnfStyle w:val="000000000000" w:firstRow="0" w:lastRow="0" w:firstColumn="0" w:lastColumn="0" w:oddVBand="0" w:evenVBand="0" w:oddHBand="0" w:evenHBand="0" w:firstRowFirstColumn="0" w:firstRowLastColumn="0" w:lastRowFirstColumn="0" w:lastRowLastColumn="0"/>
            </w:pPr>
            <w:r w:rsidRPr="001C38BF">
              <w:rPr>
                <w:b/>
              </w:rPr>
              <w:t>Contacto estrecho:</w:t>
            </w:r>
            <w:r w:rsidRPr="001C38BF">
              <w:t xml:space="preserve"> </w:t>
            </w:r>
            <w:r>
              <w:t>Persona que ha estado en contacto con un caso confirmado COVID-19 entre 2 días antes al inicio de síntomas y 14 días después del inicio de síntomas del enfermo, cumpliéndose además una de las siguientes condiciones:</w:t>
            </w:r>
          </w:p>
          <w:p w14:paraId="7FF29986" w14:textId="77777777" w:rsidR="001C38BF" w:rsidRDefault="001C38BF" w:rsidP="001C38BF">
            <w:pPr>
              <w:jc w:val="both"/>
              <w:cnfStyle w:val="000000000000" w:firstRow="0" w:lastRow="0" w:firstColumn="0" w:lastColumn="0" w:oddVBand="0" w:evenVBand="0" w:oddHBand="0" w:evenHBand="0" w:firstRowFirstColumn="0" w:firstRowLastColumn="0" w:lastRowFirstColumn="0" w:lastRowLastColumn="0"/>
            </w:pPr>
            <w:r>
              <w:t>• Haber mantenido más de 15 minutos de contacto cara a cara, a menos de un metro.</w:t>
            </w:r>
          </w:p>
          <w:p w14:paraId="18F8997A" w14:textId="77777777" w:rsidR="001C38BF" w:rsidRDefault="001C38BF" w:rsidP="001C38BF">
            <w:pPr>
              <w:jc w:val="both"/>
              <w:cnfStyle w:val="000000000000" w:firstRow="0" w:lastRow="0" w:firstColumn="0" w:lastColumn="0" w:oddVBand="0" w:evenVBand="0" w:oddHBand="0" w:evenHBand="0" w:firstRowFirstColumn="0" w:firstRowLastColumn="0" w:lastRowFirstColumn="0" w:lastRowLastColumn="0"/>
            </w:pPr>
            <w:r>
              <w:t>• Haber compartido un espacio cerrado por 2 horas o más, tales como oficinas, lugares de trabajo, reuniones, liceos.</w:t>
            </w:r>
          </w:p>
          <w:p w14:paraId="14249119" w14:textId="77777777" w:rsidR="001C38BF" w:rsidRDefault="001C38BF" w:rsidP="001C38BF">
            <w:pPr>
              <w:jc w:val="both"/>
              <w:cnfStyle w:val="000000000000" w:firstRow="0" w:lastRow="0" w:firstColumn="0" w:lastColumn="0" w:oddVBand="0" w:evenVBand="0" w:oddHBand="0" w:evenHBand="0" w:firstRowFirstColumn="0" w:firstRowLastColumn="0" w:lastRowFirstColumn="0" w:lastRowLastColumn="0"/>
            </w:pPr>
            <w:r>
              <w:t>• Vivir o pernoctar en el mismo hogar o lugares similares a hogar, tales como hostales, internados, instituciones cerradas, hogares de ancianos, hoteles, residencias, entre otros.</w:t>
            </w:r>
          </w:p>
          <w:p w14:paraId="59DF3343" w14:textId="77777777" w:rsidR="001C38BF" w:rsidRDefault="001C38BF" w:rsidP="001C38BF">
            <w:pPr>
              <w:jc w:val="both"/>
              <w:cnfStyle w:val="000000000000" w:firstRow="0" w:lastRow="0" w:firstColumn="0" w:lastColumn="0" w:oddVBand="0" w:evenVBand="0" w:oddHBand="0" w:evenHBand="0" w:firstRowFirstColumn="0" w:firstRowLastColumn="0" w:lastRowFirstColumn="0" w:lastRowLastColumn="0"/>
            </w:pPr>
            <w:r>
              <w:t>• Haberse trasladado en cualquier medio de transporte cerrado a una proximidad menor de un metro con otro ocupante del medio de transporte</w:t>
            </w:r>
          </w:p>
        </w:tc>
        <w:tc>
          <w:tcPr>
            <w:tcW w:w="4750" w:type="dxa"/>
            <w:vMerge/>
          </w:tcPr>
          <w:p w14:paraId="62BE809B" w14:textId="77777777" w:rsidR="00152C8D" w:rsidRDefault="00152C8D" w:rsidP="00BD40E4">
            <w:pPr>
              <w:cnfStyle w:val="000000000000" w:firstRow="0" w:lastRow="0" w:firstColumn="0" w:lastColumn="0" w:oddVBand="0" w:evenVBand="0" w:oddHBand="0" w:evenHBand="0" w:firstRowFirstColumn="0" w:firstRowLastColumn="0" w:lastRowFirstColumn="0" w:lastRowLastColumn="0"/>
            </w:pPr>
          </w:p>
        </w:tc>
      </w:tr>
      <w:tr w:rsidR="00152C8D" w14:paraId="4596569F" w14:textId="77777777" w:rsidTr="0002296A">
        <w:trPr>
          <w:trHeight w:val="1833"/>
        </w:trPr>
        <w:tc>
          <w:tcPr>
            <w:cnfStyle w:val="001000000000" w:firstRow="0" w:lastRow="0" w:firstColumn="1" w:lastColumn="0" w:oddVBand="0" w:evenVBand="0" w:oddHBand="0" w:evenHBand="0" w:firstRowFirstColumn="0" w:firstRowLastColumn="0" w:lastRowFirstColumn="0" w:lastRowLastColumn="0"/>
            <w:tcW w:w="562" w:type="dxa"/>
            <w:textDirection w:val="tbRl"/>
          </w:tcPr>
          <w:p w14:paraId="0273F6BA" w14:textId="77777777" w:rsidR="00152C8D" w:rsidRDefault="00152C8D" w:rsidP="008F1982">
            <w:pPr>
              <w:ind w:left="113" w:right="113"/>
            </w:pPr>
            <w:r>
              <w:lastRenderedPageBreak/>
              <w:t>MARCO LEGAL</w:t>
            </w:r>
          </w:p>
        </w:tc>
        <w:tc>
          <w:tcPr>
            <w:tcW w:w="4743" w:type="dxa"/>
          </w:tcPr>
          <w:p w14:paraId="35CCDD7E" w14:textId="77777777" w:rsidR="00152C8D" w:rsidRDefault="003308D7" w:rsidP="003308D7">
            <w:pPr>
              <w:pStyle w:val="Prrafodelista"/>
              <w:numPr>
                <w:ilvl w:val="0"/>
                <w:numId w:val="3"/>
              </w:numPr>
              <w:tabs>
                <w:tab w:val="left" w:pos="177"/>
              </w:tabs>
              <w:ind w:left="35" w:firstLine="0"/>
              <w:jc w:val="both"/>
              <w:cnfStyle w:val="000000000000" w:firstRow="0" w:lastRow="0" w:firstColumn="0" w:lastColumn="0" w:oddVBand="0" w:evenVBand="0" w:oddHBand="0" w:evenHBand="0" w:firstRowFirstColumn="0" w:firstRowLastColumn="0" w:lastRowFirstColumn="0" w:lastRowLastColumn="0"/>
            </w:pPr>
            <w:r>
              <w:t>Protocolo para prevención y monitoreo del contagio de Coronavirus COVID-19 en establecimientos educacionales. (DGE).</w:t>
            </w:r>
          </w:p>
          <w:p w14:paraId="0F59ECCA" w14:textId="77777777" w:rsidR="003308D7" w:rsidRDefault="003308D7" w:rsidP="003308D7">
            <w:pPr>
              <w:pStyle w:val="Prrafodelista"/>
              <w:numPr>
                <w:ilvl w:val="0"/>
                <w:numId w:val="3"/>
              </w:numPr>
              <w:tabs>
                <w:tab w:val="left" w:pos="177"/>
              </w:tabs>
              <w:ind w:left="35" w:firstLine="0"/>
              <w:jc w:val="both"/>
              <w:cnfStyle w:val="000000000000" w:firstRow="0" w:lastRow="0" w:firstColumn="0" w:lastColumn="0" w:oddVBand="0" w:evenVBand="0" w:oddHBand="0" w:evenHBand="0" w:firstRowFirstColumn="0" w:firstRowLastColumn="0" w:lastRowFirstColumn="0" w:lastRowLastColumn="0"/>
            </w:pPr>
            <w:r>
              <w:t>Protocolo N02: Coronavirus COVID-19 en establecimientos educacionales y jardines infantiles.</w:t>
            </w:r>
          </w:p>
          <w:p w14:paraId="07DDCCD7" w14:textId="77777777" w:rsidR="003308D7" w:rsidRDefault="003308D7" w:rsidP="003308D7">
            <w:pPr>
              <w:cnfStyle w:val="000000000000" w:firstRow="0" w:lastRow="0" w:firstColumn="0" w:lastColumn="0" w:oddVBand="0" w:evenVBand="0" w:oddHBand="0" w:evenHBand="0" w:firstRowFirstColumn="0" w:firstRowLastColumn="0" w:lastRowFirstColumn="0" w:lastRowLastColumn="0"/>
            </w:pPr>
          </w:p>
        </w:tc>
        <w:tc>
          <w:tcPr>
            <w:tcW w:w="4750" w:type="dxa"/>
            <w:vMerge/>
          </w:tcPr>
          <w:p w14:paraId="63080435" w14:textId="77777777" w:rsidR="00152C8D" w:rsidRDefault="00152C8D" w:rsidP="00BD40E4">
            <w:pPr>
              <w:cnfStyle w:val="000000000000" w:firstRow="0" w:lastRow="0" w:firstColumn="0" w:lastColumn="0" w:oddVBand="0" w:evenVBand="0" w:oddHBand="0" w:evenHBand="0" w:firstRowFirstColumn="0" w:firstRowLastColumn="0" w:lastRowFirstColumn="0" w:lastRowLastColumn="0"/>
            </w:pPr>
          </w:p>
        </w:tc>
      </w:tr>
    </w:tbl>
    <w:p w14:paraId="3385E4C9" w14:textId="77777777" w:rsidR="008F1982" w:rsidRDefault="008F1982" w:rsidP="00BD40E4"/>
    <w:p w14:paraId="32A6B063" w14:textId="77777777" w:rsidR="002F79D0" w:rsidRPr="0002296A" w:rsidRDefault="002F79D0" w:rsidP="002F79D0">
      <w:pPr>
        <w:pStyle w:val="Prrafodelista"/>
        <w:numPr>
          <w:ilvl w:val="0"/>
          <w:numId w:val="1"/>
        </w:numPr>
        <w:rPr>
          <w:b/>
          <w:color w:val="ED7D31" w:themeColor="accent2"/>
        </w:rPr>
      </w:pPr>
      <w:r w:rsidRPr="0002296A">
        <w:rPr>
          <w:b/>
          <w:color w:val="ED7D31" w:themeColor="accent2"/>
        </w:rPr>
        <w:t>PROCEDIMIENTOS</w:t>
      </w:r>
    </w:p>
    <w:tbl>
      <w:tblPr>
        <w:tblStyle w:val="Tablaconcuadrcula1Claro-nfasis2"/>
        <w:tblW w:w="10095" w:type="dxa"/>
        <w:tblLook w:val="04A0" w:firstRow="1" w:lastRow="0" w:firstColumn="1" w:lastColumn="0" w:noHBand="0" w:noVBand="1"/>
      </w:tblPr>
      <w:tblGrid>
        <w:gridCol w:w="1271"/>
        <w:gridCol w:w="4536"/>
        <w:gridCol w:w="2410"/>
        <w:gridCol w:w="1878"/>
      </w:tblGrid>
      <w:tr w:rsidR="00990A7A" w14:paraId="61F5DC3A" w14:textId="77777777" w:rsidTr="0002296A">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271" w:type="dxa"/>
          </w:tcPr>
          <w:p w14:paraId="3FC996BD" w14:textId="77777777" w:rsidR="00990A7A" w:rsidRDefault="00990A7A" w:rsidP="002F79D0">
            <w:r>
              <w:t>ETAPA</w:t>
            </w:r>
          </w:p>
        </w:tc>
        <w:tc>
          <w:tcPr>
            <w:tcW w:w="4536" w:type="dxa"/>
          </w:tcPr>
          <w:p w14:paraId="33A8A328" w14:textId="77777777" w:rsidR="00990A7A" w:rsidRDefault="00990A7A" w:rsidP="002F79D0">
            <w:pPr>
              <w:cnfStyle w:val="100000000000" w:firstRow="1" w:lastRow="0" w:firstColumn="0" w:lastColumn="0" w:oddVBand="0" w:evenVBand="0" w:oddHBand="0" w:evenHBand="0" w:firstRowFirstColumn="0" w:firstRowLastColumn="0" w:lastRowFirstColumn="0" w:lastRowLastColumn="0"/>
            </w:pPr>
            <w:r>
              <w:t>ACCIÓN / DESCRIPCIÓN</w:t>
            </w:r>
          </w:p>
        </w:tc>
        <w:tc>
          <w:tcPr>
            <w:tcW w:w="2410" w:type="dxa"/>
          </w:tcPr>
          <w:p w14:paraId="67880ED8" w14:textId="77777777" w:rsidR="00990A7A" w:rsidRDefault="00990A7A" w:rsidP="002F79D0">
            <w:pPr>
              <w:cnfStyle w:val="100000000000" w:firstRow="1" w:lastRow="0" w:firstColumn="0" w:lastColumn="0" w:oddVBand="0" w:evenVBand="0" w:oddHBand="0" w:evenHBand="0" w:firstRowFirstColumn="0" w:firstRowLastColumn="0" w:lastRowFirstColumn="0" w:lastRowLastColumn="0"/>
            </w:pPr>
            <w:r>
              <w:t>RESPONSABILIDAD</w:t>
            </w:r>
          </w:p>
        </w:tc>
        <w:tc>
          <w:tcPr>
            <w:tcW w:w="1878" w:type="dxa"/>
          </w:tcPr>
          <w:p w14:paraId="69AE6216" w14:textId="77777777" w:rsidR="00990A7A" w:rsidRDefault="00990A7A" w:rsidP="002F79D0">
            <w:pPr>
              <w:cnfStyle w:val="100000000000" w:firstRow="1" w:lastRow="0" w:firstColumn="0" w:lastColumn="0" w:oddVBand="0" w:evenVBand="0" w:oddHBand="0" w:evenHBand="0" w:firstRowFirstColumn="0" w:firstRowLastColumn="0" w:lastRowFirstColumn="0" w:lastRowLastColumn="0"/>
            </w:pPr>
            <w:r>
              <w:t>TIEMPO DE ACCIÓN</w:t>
            </w:r>
          </w:p>
        </w:tc>
      </w:tr>
      <w:tr w:rsidR="00990A7A" w14:paraId="0202ED9B" w14:textId="77777777" w:rsidTr="0002296A">
        <w:trPr>
          <w:trHeight w:val="294"/>
        </w:trPr>
        <w:tc>
          <w:tcPr>
            <w:cnfStyle w:val="001000000000" w:firstRow="0" w:lastRow="0" w:firstColumn="1" w:lastColumn="0" w:oddVBand="0" w:evenVBand="0" w:oddHBand="0" w:evenHBand="0" w:firstRowFirstColumn="0" w:firstRowLastColumn="0" w:lastRowFirstColumn="0" w:lastRowLastColumn="0"/>
            <w:tcW w:w="1271" w:type="dxa"/>
          </w:tcPr>
          <w:p w14:paraId="300E8F0A" w14:textId="77777777" w:rsidR="00990A7A" w:rsidRDefault="00990A7A" w:rsidP="002F79D0">
            <w:r>
              <w:t xml:space="preserve">SOSPECHA </w:t>
            </w:r>
          </w:p>
        </w:tc>
        <w:tc>
          <w:tcPr>
            <w:tcW w:w="4536" w:type="dxa"/>
          </w:tcPr>
          <w:p w14:paraId="399230AD" w14:textId="77777777" w:rsidR="00990A7A" w:rsidRDefault="00990A7A" w:rsidP="006A47D2">
            <w:pPr>
              <w:jc w:val="both"/>
              <w:cnfStyle w:val="000000000000" w:firstRow="0" w:lastRow="0" w:firstColumn="0" w:lastColumn="0" w:oddVBand="0" w:evenVBand="0" w:oddHBand="0" w:evenHBand="0" w:firstRowFirstColumn="0" w:firstRowLastColumn="0" w:lastRowFirstColumn="0" w:lastRowLastColumn="0"/>
            </w:pPr>
            <w:r>
              <w:t>En el caso de que se detecte dentro del Liceo algún miembro de la comunidad educativa (docentes, estudiantes, asistentes de la educación) que presente fiebre u otros síntomas de infección respiratoria se procederá según el Protocolo N°2 del Ministerio de Educación:</w:t>
            </w:r>
          </w:p>
          <w:p w14:paraId="38621F9C" w14:textId="77777777" w:rsidR="00990A7A" w:rsidRDefault="00990A7A" w:rsidP="006A47D2">
            <w:pPr>
              <w:jc w:val="both"/>
              <w:cnfStyle w:val="000000000000" w:firstRow="0" w:lastRow="0" w:firstColumn="0" w:lastColumn="0" w:oddVBand="0" w:evenVBand="0" w:oddHBand="0" w:evenHBand="0" w:firstRowFirstColumn="0" w:firstRowLastColumn="0" w:lastRowFirstColumn="0" w:lastRowLastColumn="0"/>
            </w:pPr>
            <w:r>
              <w:t>• Se debe informar inmediatamente al servicio de salud más cercano al Liceo (Hospital Florencio Vargas Díaz) para que envíe a persona encargada del protocolo COVID y/o Autoridad Sanitaria Regional, quienes evaluarán el caso para determinar si corresponde o no a un caso sospechoso. Simultáneamente, en caso de que sea estudiante, se llamará al apoderado. Ahora bien, si es docente y/o asistente de la educación se contactará a familiar</w:t>
            </w:r>
            <w:r w:rsidR="006A47D2">
              <w:t xml:space="preserve"> (Secretaria del Liceo</w:t>
            </w:r>
            <w:r w:rsidR="0099127C">
              <w:t xml:space="preserve"> llamará por orden de Dirección, </w:t>
            </w:r>
            <w:r w:rsidR="006A47D2">
              <w:t>subdirección</w:t>
            </w:r>
            <w:r w:rsidR="0099127C">
              <w:t xml:space="preserve"> y/o Inspectoría General</w:t>
            </w:r>
            <w:r w:rsidR="006A47D2">
              <w:t>)</w:t>
            </w:r>
            <w:r>
              <w:t>.</w:t>
            </w:r>
          </w:p>
          <w:p w14:paraId="27637772" w14:textId="77777777" w:rsidR="00990A7A" w:rsidRDefault="00990A7A" w:rsidP="006A47D2">
            <w:pPr>
              <w:jc w:val="both"/>
              <w:cnfStyle w:val="000000000000" w:firstRow="0" w:lastRow="0" w:firstColumn="0" w:lastColumn="0" w:oddVBand="0" w:evenVBand="0" w:oddHBand="0" w:evenHBand="0" w:firstRowFirstColumn="0" w:firstRowLastColumn="0" w:lastRowFirstColumn="0" w:lastRowLastColumn="0"/>
            </w:pPr>
            <w:r>
              <w:t>• Hasta la llegada de la persona encargada del protocolo COVID del servicio de salud y/o Autoridad Sanitaria Regional, se llevará a la persona a oficina destinada al efecto que permita mantenerse aislado del contacto con otras, cuidando su integridad física y emocional</w:t>
            </w:r>
            <w:r w:rsidR="006A47D2">
              <w:t xml:space="preserve"> (Espacio definido por el Establecimiento)</w:t>
            </w:r>
            <w:r>
              <w:t>.</w:t>
            </w:r>
          </w:p>
          <w:p w14:paraId="2DEA06BD" w14:textId="77777777" w:rsidR="00990A7A" w:rsidRDefault="00990A7A" w:rsidP="006A47D2">
            <w:pPr>
              <w:jc w:val="both"/>
              <w:cnfStyle w:val="000000000000" w:firstRow="0" w:lastRow="0" w:firstColumn="0" w:lastColumn="0" w:oddVBand="0" w:evenVBand="0" w:oddHBand="0" w:evenHBand="0" w:firstRowFirstColumn="0" w:firstRowLastColumn="0" w:lastRowFirstColumn="0" w:lastRowLastColumn="0"/>
            </w:pPr>
            <w:r>
              <w:t>• Si la persona encargada del protocolo COVID del servicio de salud y/o Autoridad Sanitaria Regional determina que no corresponde a un caso sospechoso, se podrán retomar las actividades habituales y regulares en el establecimiento educacional.</w:t>
            </w:r>
          </w:p>
          <w:p w14:paraId="06114E97" w14:textId="77777777" w:rsidR="00990A7A" w:rsidRDefault="00990A7A" w:rsidP="006A47D2">
            <w:pPr>
              <w:jc w:val="both"/>
              <w:cnfStyle w:val="000000000000" w:firstRow="0" w:lastRow="0" w:firstColumn="0" w:lastColumn="0" w:oddVBand="0" w:evenVBand="0" w:oddHBand="0" w:evenHBand="0" w:firstRowFirstColumn="0" w:firstRowLastColumn="0" w:lastRowFirstColumn="0" w:lastRowLastColumn="0"/>
            </w:pPr>
            <w:r>
              <w:t xml:space="preserve">• Si la persona encargada del protocolo COVID del servicio de salud y/o Autoridad Sanitaria Regional determina que, sí corresponde a un caso sospechoso, el Director del </w:t>
            </w:r>
            <w:r w:rsidR="006A47D2">
              <w:t>Liceo</w:t>
            </w:r>
            <w:r>
              <w:t xml:space="preserve"> otorgará las</w:t>
            </w:r>
            <w:r w:rsidR="006A47D2">
              <w:t xml:space="preserve"> </w:t>
            </w:r>
            <w:r>
              <w:t xml:space="preserve">facilidades y colaborará con las acciones de prevención y control impartidas por la persona encargada del protocolo COVID del servicio de salud y/o Autoridad Sanitaria Regional, que incluye identificación, seguimiento y monitoreo </w:t>
            </w:r>
            <w:r>
              <w:lastRenderedPageBreak/>
              <w:t>de contactos, medidas de control ambiental, entre otros</w:t>
            </w:r>
          </w:p>
        </w:tc>
        <w:tc>
          <w:tcPr>
            <w:tcW w:w="2410" w:type="dxa"/>
          </w:tcPr>
          <w:p w14:paraId="6100A6BC" w14:textId="77777777" w:rsidR="00990A7A" w:rsidRDefault="00990A7A" w:rsidP="002F79D0">
            <w:pPr>
              <w:cnfStyle w:val="000000000000" w:firstRow="0" w:lastRow="0" w:firstColumn="0" w:lastColumn="0" w:oddVBand="0" w:evenVBand="0" w:oddHBand="0" w:evenHBand="0" w:firstRowFirstColumn="0" w:firstRowLastColumn="0" w:lastRowFirstColumn="0" w:lastRowLastColumn="0"/>
            </w:pPr>
            <w:r>
              <w:lastRenderedPageBreak/>
              <w:t>Comunidad Escolar</w:t>
            </w:r>
          </w:p>
          <w:p w14:paraId="710956C1" w14:textId="77777777" w:rsidR="00990A7A" w:rsidRDefault="00990A7A" w:rsidP="002F79D0">
            <w:pPr>
              <w:cnfStyle w:val="000000000000" w:firstRow="0" w:lastRow="0" w:firstColumn="0" w:lastColumn="0" w:oddVBand="0" w:evenVBand="0" w:oddHBand="0" w:evenHBand="0" w:firstRowFirstColumn="0" w:firstRowLastColumn="0" w:lastRowFirstColumn="0" w:lastRowLastColumn="0"/>
            </w:pPr>
          </w:p>
        </w:tc>
        <w:tc>
          <w:tcPr>
            <w:tcW w:w="1878" w:type="dxa"/>
          </w:tcPr>
          <w:p w14:paraId="0E522FDD" w14:textId="77777777" w:rsidR="00990A7A" w:rsidRDefault="00990A7A" w:rsidP="002F79D0">
            <w:pPr>
              <w:cnfStyle w:val="000000000000" w:firstRow="0" w:lastRow="0" w:firstColumn="0" w:lastColumn="0" w:oddVBand="0" w:evenVBand="0" w:oddHBand="0" w:evenHBand="0" w:firstRowFirstColumn="0" w:firstRowLastColumn="0" w:lastRowFirstColumn="0" w:lastRowLastColumn="0"/>
            </w:pPr>
            <w:r>
              <w:t>Inmediatamente</w:t>
            </w:r>
          </w:p>
        </w:tc>
      </w:tr>
      <w:tr w:rsidR="006A47D2" w14:paraId="255D8FC4" w14:textId="77777777" w:rsidTr="0002296A">
        <w:trPr>
          <w:trHeight w:val="294"/>
        </w:trPr>
        <w:tc>
          <w:tcPr>
            <w:cnfStyle w:val="001000000000" w:firstRow="0" w:lastRow="0" w:firstColumn="1" w:lastColumn="0" w:oddVBand="0" w:evenVBand="0" w:oddHBand="0" w:evenHBand="0" w:firstRowFirstColumn="0" w:firstRowLastColumn="0" w:lastRowFirstColumn="0" w:lastRowLastColumn="0"/>
            <w:tcW w:w="1271" w:type="dxa"/>
          </w:tcPr>
          <w:p w14:paraId="45620F40" w14:textId="77777777" w:rsidR="006A47D2" w:rsidRDefault="006A47D2" w:rsidP="006A47D2">
            <w:r>
              <w:t>DETECCIÓN</w:t>
            </w:r>
          </w:p>
        </w:tc>
        <w:tc>
          <w:tcPr>
            <w:tcW w:w="4536" w:type="dxa"/>
          </w:tcPr>
          <w:p w14:paraId="5DEFF014" w14:textId="77777777" w:rsidR="0002296A" w:rsidRDefault="006A47D2" w:rsidP="0002296A">
            <w:pPr>
              <w:jc w:val="both"/>
              <w:cnfStyle w:val="000000000000" w:firstRow="0" w:lastRow="0" w:firstColumn="0" w:lastColumn="0" w:oddVBand="0" w:evenVBand="0" w:oddHBand="0" w:evenHBand="0" w:firstRowFirstColumn="0" w:firstRowLastColumn="0" w:lastRowFirstColumn="0" w:lastRowLastColumn="0"/>
            </w:pPr>
            <w:r>
              <w:t>Si existe un caso positivo en el establecimiento (</w:t>
            </w:r>
            <w:r w:rsidR="005E2AB9" w:rsidRPr="005E2AB9">
              <w:t>docentes, estudiantes, asistentes de la educación</w:t>
            </w:r>
            <w:r>
              <w:t xml:space="preserve">), corresponde que la SEREMI de Salud, </w:t>
            </w:r>
            <w:r w:rsidR="0002296A">
              <w:t>informe del hecho y elabore la lista de los contactos estrechos de ese caso positivo.</w:t>
            </w:r>
          </w:p>
          <w:p w14:paraId="58DA1A56" w14:textId="77777777" w:rsidR="0002296A" w:rsidRDefault="0002296A" w:rsidP="0002296A">
            <w:pPr>
              <w:jc w:val="both"/>
              <w:cnfStyle w:val="000000000000" w:firstRow="0" w:lastRow="0" w:firstColumn="0" w:lastColumn="0" w:oddVBand="0" w:evenVBand="0" w:oddHBand="0" w:evenHBand="0" w:firstRowFirstColumn="0" w:firstRowLastColumn="0" w:lastRowFirstColumn="0" w:lastRowLastColumn="0"/>
            </w:pPr>
            <w:r>
              <w:t xml:space="preserve">Los contactos estrechos informados por la Autoridad sanitaria harán una cuarentena preventiva de 14 días, según lo indicado en el protocolo. </w:t>
            </w:r>
          </w:p>
        </w:tc>
        <w:tc>
          <w:tcPr>
            <w:tcW w:w="2410" w:type="dxa"/>
          </w:tcPr>
          <w:p w14:paraId="423144BC" w14:textId="77777777" w:rsidR="006A47D2" w:rsidRDefault="0002296A" w:rsidP="006A47D2">
            <w:pPr>
              <w:cnfStyle w:val="000000000000" w:firstRow="0" w:lastRow="0" w:firstColumn="0" w:lastColumn="0" w:oddVBand="0" w:evenVBand="0" w:oddHBand="0" w:evenHBand="0" w:firstRowFirstColumn="0" w:firstRowLastColumn="0" w:lastRowFirstColumn="0" w:lastRowLastColumn="0"/>
            </w:pPr>
            <w:r>
              <w:t>Autoridad Sanitaria</w:t>
            </w:r>
          </w:p>
        </w:tc>
        <w:tc>
          <w:tcPr>
            <w:tcW w:w="1878" w:type="dxa"/>
          </w:tcPr>
          <w:p w14:paraId="7726C4EC" w14:textId="77777777" w:rsidR="006A47D2" w:rsidRDefault="006A47D2" w:rsidP="006A47D2">
            <w:pPr>
              <w:cnfStyle w:val="000000000000" w:firstRow="0" w:lastRow="0" w:firstColumn="0" w:lastColumn="0" w:oddVBand="0" w:evenVBand="0" w:oddHBand="0" w:evenHBand="0" w:firstRowFirstColumn="0" w:firstRowLastColumn="0" w:lastRowFirstColumn="0" w:lastRowLastColumn="0"/>
            </w:pPr>
            <w:r>
              <w:t>Inmediatamente</w:t>
            </w:r>
          </w:p>
        </w:tc>
      </w:tr>
    </w:tbl>
    <w:p w14:paraId="116119C3" w14:textId="77777777" w:rsidR="003E1C90" w:rsidRDefault="003E1C90" w:rsidP="00BD40E4"/>
    <w:p w14:paraId="55261339" w14:textId="77777777" w:rsidR="0002296A" w:rsidRDefault="0002296A" w:rsidP="00BD40E4"/>
    <w:p w14:paraId="30BC5331" w14:textId="77777777" w:rsidR="0002296A" w:rsidRDefault="0002296A" w:rsidP="00BD40E4"/>
    <w:sectPr w:rsidR="0002296A" w:rsidSect="008F1982">
      <w:pgSz w:w="12240" w:h="16340"/>
      <w:pgMar w:top="1135" w:right="104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EKXB+Calibri-Bold">
    <w:altName w:val="Calibri"/>
    <w:panose1 w:val="00000000000000000000"/>
    <w:charset w:val="00"/>
    <w:family w:val="swiss"/>
    <w:notTrueType/>
    <w:pitch w:val="default"/>
    <w:sig w:usb0="00000003" w:usb1="00000000" w:usb2="00000000" w:usb3="00000000" w:csb0="00000001" w:csb1="00000000"/>
  </w:font>
  <w:font w:name="BEKRYY+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2758C"/>
    <w:multiLevelType w:val="hybridMultilevel"/>
    <w:tmpl w:val="1B16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91040"/>
    <w:multiLevelType w:val="hybridMultilevel"/>
    <w:tmpl w:val="2244E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176A1"/>
    <w:multiLevelType w:val="hybridMultilevel"/>
    <w:tmpl w:val="1B16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2E"/>
    <w:rsid w:val="0002296A"/>
    <w:rsid w:val="00152C8D"/>
    <w:rsid w:val="001C38BF"/>
    <w:rsid w:val="002F79D0"/>
    <w:rsid w:val="003308D7"/>
    <w:rsid w:val="003E1C90"/>
    <w:rsid w:val="005E2AB9"/>
    <w:rsid w:val="006A47D2"/>
    <w:rsid w:val="006B6CB2"/>
    <w:rsid w:val="008F1982"/>
    <w:rsid w:val="00990A7A"/>
    <w:rsid w:val="0099127C"/>
    <w:rsid w:val="00AD3C2E"/>
    <w:rsid w:val="00AE362E"/>
    <w:rsid w:val="00BD40E4"/>
    <w:rsid w:val="00D52400"/>
    <w:rsid w:val="00E357A3"/>
    <w:rsid w:val="00EC0F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1336"/>
  <w15:chartTrackingRefBased/>
  <w15:docId w15:val="{CD60A5BD-74BC-4DAD-913F-17A09617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F198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D40E4"/>
    <w:pPr>
      <w:autoSpaceDE w:val="0"/>
      <w:autoSpaceDN w:val="0"/>
      <w:adjustRightInd w:val="0"/>
      <w:spacing w:after="0" w:line="240" w:lineRule="auto"/>
    </w:pPr>
    <w:rPr>
      <w:rFonts w:ascii="AHEKXB+Calibri-Bold" w:hAnsi="AHEKXB+Calibri-Bold" w:cs="AHEKXB+Calibri-Bold"/>
      <w:color w:val="000000"/>
      <w:sz w:val="24"/>
      <w:szCs w:val="24"/>
    </w:rPr>
  </w:style>
  <w:style w:type="character" w:customStyle="1" w:styleId="Ttulo3Car">
    <w:name w:val="Título 3 Car"/>
    <w:basedOn w:val="Fuentedeprrafopredeter"/>
    <w:link w:val="Ttulo3"/>
    <w:uiPriority w:val="9"/>
    <w:rsid w:val="008F1982"/>
    <w:rPr>
      <w:rFonts w:ascii="Times New Roman" w:eastAsia="Times New Roman" w:hAnsi="Times New Roman" w:cs="Times New Roman"/>
      <w:b/>
      <w:bCs/>
      <w:sz w:val="27"/>
      <w:szCs w:val="27"/>
      <w:lang w:val="en-US"/>
    </w:rPr>
  </w:style>
  <w:style w:type="paragraph" w:styleId="Sinespaciado">
    <w:name w:val="No Spacing"/>
    <w:uiPriority w:val="1"/>
    <w:qFormat/>
    <w:rsid w:val="008F1982"/>
    <w:pPr>
      <w:spacing w:after="0" w:line="240" w:lineRule="auto"/>
    </w:pPr>
  </w:style>
  <w:style w:type="table" w:styleId="Tablaconcuadrcula">
    <w:name w:val="Table Grid"/>
    <w:basedOn w:val="Tablanormal"/>
    <w:uiPriority w:val="39"/>
    <w:rsid w:val="008F1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8F19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2F79D0"/>
    <w:pPr>
      <w:ind w:left="720"/>
      <w:contextualSpacing/>
    </w:pPr>
  </w:style>
  <w:style w:type="table" w:styleId="Tablaconcuadrcula1Claro-nfasis2">
    <w:name w:val="Grid Table 1 Light Accent 2"/>
    <w:basedOn w:val="Tablanormal"/>
    <w:uiPriority w:val="46"/>
    <w:rsid w:val="0002296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6BFB-07D1-4DD5-AA14-F7706A41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escc_6z6sny2@outlook.es</dc:creator>
  <cp:keywords/>
  <dc:description/>
  <cp:lastModifiedBy>Katherine Andrea  Pino Godoy</cp:lastModifiedBy>
  <cp:revision>2</cp:revision>
  <dcterms:created xsi:type="dcterms:W3CDTF">2021-02-16T00:20:00Z</dcterms:created>
  <dcterms:modified xsi:type="dcterms:W3CDTF">2021-02-16T00:20:00Z</dcterms:modified>
</cp:coreProperties>
</file>